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26A" w:rsidRDefault="0008026A" w:rsidP="0008026A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8635"/>
      </w:tblGrid>
      <w:tr w:rsidR="0008026A" w:rsidRPr="008400F6" w:rsidTr="0008026A">
        <w:tc>
          <w:tcPr>
            <w:tcW w:w="9016" w:type="dxa"/>
            <w:gridSpan w:val="2"/>
          </w:tcPr>
          <w:p w:rsidR="0008026A" w:rsidRPr="008400F6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400F6">
              <w:rPr>
                <w:rFonts w:ascii="Arial Narrow" w:hAnsi="Arial Narrow"/>
                <w:sz w:val="24"/>
                <w:szCs w:val="24"/>
              </w:rPr>
              <w:t>Course Number &amp; Title: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D69B0">
              <w:rPr>
                <w:rFonts w:ascii="Arial Narrow" w:hAnsi="Arial Narrow"/>
                <w:b/>
                <w:sz w:val="24"/>
                <w:szCs w:val="24"/>
              </w:rPr>
              <w:t>RA604 &amp; Advanced Engineering Dynamics</w:t>
            </w:r>
          </w:p>
        </w:tc>
      </w:tr>
      <w:tr w:rsidR="0008026A" w:rsidRPr="008400F6" w:rsidTr="0008026A">
        <w:tc>
          <w:tcPr>
            <w:tcW w:w="9016" w:type="dxa"/>
            <w:gridSpan w:val="2"/>
          </w:tcPr>
          <w:p w:rsidR="0008026A" w:rsidRPr="008400F6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400F6">
              <w:rPr>
                <w:rFonts w:ascii="Arial Narrow" w:hAnsi="Arial Narrow"/>
                <w:sz w:val="24"/>
                <w:szCs w:val="24"/>
              </w:rPr>
              <w:t>L-T-P-C: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D69B0">
              <w:rPr>
                <w:rFonts w:ascii="Arial Narrow" w:hAnsi="Arial Narrow"/>
                <w:b/>
                <w:sz w:val="24"/>
                <w:szCs w:val="24"/>
              </w:rPr>
              <w:t>3-0-0-6</w:t>
            </w:r>
          </w:p>
        </w:tc>
      </w:tr>
      <w:tr w:rsidR="0008026A" w:rsidRPr="008400F6" w:rsidTr="0008026A">
        <w:tc>
          <w:tcPr>
            <w:tcW w:w="9016" w:type="dxa"/>
            <w:gridSpan w:val="2"/>
          </w:tcPr>
          <w:p w:rsidR="0008026A" w:rsidRPr="00C045D0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400F6">
              <w:rPr>
                <w:rFonts w:ascii="Arial Narrow" w:hAnsi="Arial Narrow"/>
                <w:sz w:val="24"/>
                <w:szCs w:val="24"/>
              </w:rPr>
              <w:t xml:space="preserve">Course Content/ Syllabus </w:t>
            </w:r>
          </w:p>
          <w:p w:rsidR="0008026A" w:rsidRPr="008400F6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08026A" w:rsidRPr="00C045D0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045D0">
              <w:rPr>
                <w:rFonts w:ascii="Arial Narrow" w:hAnsi="Arial Narrow"/>
                <w:sz w:val="24"/>
                <w:szCs w:val="24"/>
              </w:rPr>
              <w:t xml:space="preserve">Overview of Vector operations and Newtonian Mechanics. Particle Kinematics: curves in space and kinematical descriptions; Relative Motion: Coordinate transformations, displacement analysis, velocity and acceleration analysis in moving reference frames. Rigid Body Motion Kinematics: Eulerian angles, interconnections and linkages, rolling, Euler Parameters. Rigid Body Geometry. Newton-Euler equations of motion. Introduction to Analytical Mechanics. Constrained Generalized coordinates. Advanced concepts in rigid body dynamics: modified </w:t>
            </w:r>
            <w:proofErr w:type="spellStart"/>
            <w:r w:rsidRPr="00C045D0">
              <w:rPr>
                <w:rFonts w:ascii="Arial Narrow" w:hAnsi="Arial Narrow"/>
                <w:sz w:val="24"/>
                <w:szCs w:val="24"/>
              </w:rPr>
              <w:t>Eulers</w:t>
            </w:r>
            <w:proofErr w:type="spellEnd"/>
            <w:r w:rsidRPr="00C045D0">
              <w:rPr>
                <w:rFonts w:ascii="Arial Narrow" w:hAnsi="Arial Narrow"/>
                <w:sz w:val="24"/>
                <w:szCs w:val="24"/>
              </w:rPr>
              <w:t xml:space="preserve"> equations, moment equations about an arbitrary point, quasi-coordinates and velocities, Gibbs-</w:t>
            </w:r>
            <w:proofErr w:type="spellStart"/>
            <w:r w:rsidRPr="00C045D0">
              <w:rPr>
                <w:rFonts w:ascii="Arial Narrow" w:hAnsi="Arial Narrow"/>
                <w:sz w:val="24"/>
                <w:szCs w:val="24"/>
              </w:rPr>
              <w:t>Appells</w:t>
            </w:r>
            <w:proofErr w:type="spellEnd"/>
            <w:r w:rsidRPr="00C045D0">
              <w:rPr>
                <w:rFonts w:ascii="Arial Narrow" w:hAnsi="Arial Narrow"/>
                <w:sz w:val="24"/>
                <w:szCs w:val="24"/>
              </w:rPr>
              <w:t xml:space="preserve"> equations, Kane’s equations. Gyroscopic effects. Application case studies for multi-body, aerospace and underactuated system problems.</w:t>
            </w:r>
          </w:p>
          <w:p w:rsidR="0008026A" w:rsidRPr="008400F6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026A" w:rsidRPr="008400F6" w:rsidTr="0008026A">
        <w:tc>
          <w:tcPr>
            <w:tcW w:w="9016" w:type="dxa"/>
            <w:gridSpan w:val="2"/>
          </w:tcPr>
          <w:p w:rsidR="0008026A" w:rsidRPr="008400F6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400F6">
              <w:rPr>
                <w:rFonts w:ascii="Arial Narrow" w:hAnsi="Arial Narrow"/>
                <w:sz w:val="24"/>
                <w:szCs w:val="24"/>
              </w:rPr>
              <w:t xml:space="preserve">References: </w:t>
            </w:r>
          </w:p>
        </w:tc>
      </w:tr>
      <w:tr w:rsidR="0008026A" w:rsidRPr="008400F6" w:rsidTr="0008026A">
        <w:tc>
          <w:tcPr>
            <w:tcW w:w="279" w:type="dxa"/>
          </w:tcPr>
          <w:p w:rsidR="0008026A" w:rsidRPr="008400F6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8737" w:type="dxa"/>
          </w:tcPr>
          <w:p w:rsidR="0008026A" w:rsidRPr="008400F6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J.H. Ginsberg, Advanced Engineering Dynamics, 2</w:t>
            </w:r>
            <w:r w:rsidRPr="00B36A89">
              <w:rPr>
                <w:rFonts w:ascii="Arial Narrow" w:hAnsi="Arial Narrow"/>
                <w:sz w:val="24"/>
                <w:szCs w:val="24"/>
                <w:vertAlign w:val="superscript"/>
              </w:rPr>
              <w:t>nd</w:t>
            </w:r>
            <w:r>
              <w:rPr>
                <w:rFonts w:ascii="Arial Narrow" w:hAnsi="Arial Narrow"/>
                <w:sz w:val="24"/>
                <w:szCs w:val="24"/>
              </w:rPr>
              <w:t xml:space="preserve"> Edition, Cambridge University Press, 1998.</w:t>
            </w:r>
          </w:p>
        </w:tc>
      </w:tr>
      <w:tr w:rsidR="0008026A" w:rsidRPr="008400F6" w:rsidTr="0008026A">
        <w:tc>
          <w:tcPr>
            <w:tcW w:w="279" w:type="dxa"/>
          </w:tcPr>
          <w:p w:rsidR="0008026A" w:rsidRPr="008400F6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 </w:t>
            </w:r>
          </w:p>
        </w:tc>
        <w:tc>
          <w:tcPr>
            <w:tcW w:w="8737" w:type="dxa"/>
          </w:tcPr>
          <w:p w:rsidR="0008026A" w:rsidRPr="003B045F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D.T. Greenwood, Advanced Dynamics, Cambridge University Press, 2003.</w:t>
            </w:r>
          </w:p>
        </w:tc>
      </w:tr>
      <w:tr w:rsidR="0008026A" w:rsidRPr="008400F6" w:rsidTr="0008026A">
        <w:tc>
          <w:tcPr>
            <w:tcW w:w="279" w:type="dxa"/>
          </w:tcPr>
          <w:p w:rsidR="0008026A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8737" w:type="dxa"/>
          </w:tcPr>
          <w:p w:rsidR="0008026A" w:rsidRDefault="0008026A" w:rsidP="00EC57B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Baruh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Analytical Dynamics, International Edition, McGraw-Hill, 1999.</w:t>
            </w:r>
          </w:p>
        </w:tc>
      </w:tr>
    </w:tbl>
    <w:p w:rsidR="0008026A" w:rsidRDefault="0008026A" w:rsidP="0008026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873DC" w:rsidRDefault="0008026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8388"/>
      </w:tblGrid>
      <w:tr w:rsidR="0008026A" w:rsidRPr="00AD69B0" w:rsidTr="0008026A">
        <w:tc>
          <w:tcPr>
            <w:tcW w:w="9016" w:type="dxa"/>
            <w:gridSpan w:val="2"/>
            <w:tcBorders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Course Number &amp; Title: </w:t>
            </w:r>
            <w:r w:rsidRPr="00AD69B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RA603 &amp; CAD/CAM</w:t>
            </w:r>
          </w:p>
        </w:tc>
      </w:tr>
      <w:tr w:rsidR="0008026A" w:rsidRPr="00AD69B0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Course Content/ Syllabus: </w:t>
            </w:r>
          </w:p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Introduction and components of Computer aided design (CAD)/Computer aided manufacturing (CAM)/Computer aided engineering (CAE) systems; Basic concepts of graphics programming; Transformation matrix; Rendering; Graphical user interface; Computer aided drafting systems; Geometric modeling systems – wireframe, surface and solid modeling systems; Nonmanifold systems; Assembly and web-based modeling systems; Representation and manipulation of conic sections; Hermite, Bezier, and B-spline curves and surfaces; Introduction to optimization; CAD/CAM integration; Numerical control – Concepts for manual and computer assisted part programming; Virtual engineering – components and applications; Extensive laboratory work on CAD (Solid modeling software), CAM (manufacturing software), and CAE (Finite element analysis software) </w:t>
            </w:r>
          </w:p>
        </w:tc>
      </w:tr>
      <w:tr w:rsidR="0008026A" w:rsidRPr="00AD69B0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Texts:</w:t>
            </w: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08026A" w:rsidRPr="00AD69B0" w:rsidTr="0008026A"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Kunwoo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Lee, Principles of CAD/CAM/CAE systems, Addison Wesley, 1999.</w:t>
            </w:r>
          </w:p>
        </w:tc>
      </w:tr>
      <w:tr w:rsidR="0008026A" w:rsidRPr="00AD69B0" w:rsidTr="0008026A"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Zeid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Ibrahim, </w:t>
            </w:r>
            <w:r w:rsidRPr="00AD69B0">
              <w:rPr>
                <w:rFonts w:ascii="Arial Narrow" w:eastAsia="Arial Narrow" w:hAnsi="Arial Narrow" w:cs="Arial Narrow"/>
                <w:i/>
                <w:iCs/>
                <w:sz w:val="24"/>
                <w:szCs w:val="24"/>
              </w:rPr>
              <w:t>CAD/CAM theory and practice</w:t>
            </w: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, McGraw-Hill Higher Education, 1991.</w:t>
            </w:r>
          </w:p>
        </w:tc>
      </w:tr>
      <w:tr w:rsidR="0008026A" w:rsidRPr="00AD69B0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References</w:t>
            </w:r>
          </w:p>
        </w:tc>
      </w:tr>
      <w:tr w:rsidR="0008026A" w:rsidRPr="00AD69B0" w:rsidTr="0008026A"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Mark E. </w:t>
            </w: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Coticchia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, George W. Crawford, and Edward J. Preston, CAD/CAM/CAE systems: justification, implementation and productivity measurement, 2nd edition, New York, Marcel Dekker, 1993.</w:t>
            </w:r>
          </w:p>
        </w:tc>
      </w:tr>
      <w:tr w:rsidR="0008026A" w:rsidRPr="00AD69B0" w:rsidTr="0008026A"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2.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Chris </w:t>
            </w: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Macmahon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Jimmie Browne CADCAM: principles, practice and manufacturing management, 2nd edition, Addison Wesley, 1998.</w:t>
            </w:r>
          </w:p>
        </w:tc>
      </w:tr>
      <w:tr w:rsidR="0008026A" w:rsidRPr="00AD69B0" w:rsidTr="0008026A"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3.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Mikell P. Groover and Emory W. </w:t>
            </w:r>
            <w:proofErr w:type="spellStart"/>
            <w:proofErr w:type="gram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Zimmers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,CAD</w:t>
            </w:r>
            <w:proofErr w:type="gram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/CAM: Computer aided design manufacturing, Prentice Hall, 1996.</w:t>
            </w:r>
          </w:p>
        </w:tc>
      </w:tr>
      <w:tr w:rsidR="0008026A" w:rsidRPr="00AD69B0" w:rsidTr="0008026A">
        <w:tc>
          <w:tcPr>
            <w:tcW w:w="628" w:type="dxa"/>
            <w:tcBorders>
              <w:top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4.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P. Radhakrishnan, S. </w:t>
            </w: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Subramanyan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, and V. Raju, CAD/CAM/</w:t>
            </w:r>
            <w:proofErr w:type="gram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CIM ,</w:t>
            </w:r>
            <w:proofErr w:type="gram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2nd edition, New Age, 2000.</w:t>
            </w:r>
          </w:p>
        </w:tc>
      </w:tr>
    </w:tbl>
    <w:p w:rsidR="0008026A" w:rsidRDefault="0008026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8387"/>
      </w:tblGrid>
      <w:tr w:rsidR="0008026A" w:rsidRPr="00AD69B0" w:rsidTr="0008026A">
        <w:tc>
          <w:tcPr>
            <w:tcW w:w="9016" w:type="dxa"/>
            <w:gridSpan w:val="2"/>
            <w:tcBorders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 xml:space="preserve">Course Number &amp; Title: </w:t>
            </w:r>
            <w:r w:rsidRPr="00AD69B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RA605 &amp; Deep Learning for Robotics</w:t>
            </w:r>
          </w:p>
        </w:tc>
      </w:tr>
      <w:tr w:rsidR="0008026A" w:rsidRPr="00AD69B0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Course Content/ Syllabus: </w:t>
            </w:r>
          </w:p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Machine Learning: Fundamentals; Neural Network: </w:t>
            </w: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Perceptrons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, Back Propagation, Over-fitting, Regularization. Deep Networks: Definition, Motivation, Applications; Principal Component Analysis; Restricted Boltzmann Machine; Sparse Auto-encoder; Deep Belief Net; Hidden Markov Model. Convolution Neural Network (CNN): Basic architecture, Activation functions, Pooling, Handling vanishing gradient problem, Dropout, Greedy Layer-wise Pre-training, Weight initialization methods, Batch Normalization; Different CNN Models: Alex Net, VGG Net, Google Net, Res Net, Dense Net, MIL, Highway Network, Fractal Network, Siamese Net; Graphical Model: Bayes Net, Variational Auto-encoders. Sequence Learning: 1D CNN, Recurrent Neural Network (RNN), Gated RNN, Long short-term memory (LSTM). Generative Modeling: Generative adversarial network. Zero Shot Learning. Applications. Case studies in Robotics</w:t>
            </w:r>
          </w:p>
        </w:tc>
      </w:tr>
      <w:tr w:rsidR="0008026A" w:rsidRPr="00AD69B0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Texts:</w:t>
            </w:r>
          </w:p>
        </w:tc>
      </w:tr>
      <w:tr w:rsidR="0008026A" w:rsidRPr="00AD69B0" w:rsidTr="0008026A"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1.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Ian Goodfellow, </w:t>
            </w: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Yoshua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Bengio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Aaron Courville, Deep Learning, MIT Press, 2016</w:t>
            </w:r>
          </w:p>
        </w:tc>
      </w:tr>
      <w:tr w:rsidR="0008026A" w:rsidRPr="00AD69B0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References:</w:t>
            </w: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08026A" w:rsidRPr="00AD69B0" w:rsidTr="0008026A"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1.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Michael A. Nielsen, Neural Networks and Deep Learning, Determination Press, 2015</w:t>
            </w:r>
          </w:p>
        </w:tc>
      </w:tr>
      <w:tr w:rsidR="0008026A" w:rsidRPr="00AD69B0" w:rsidTr="0008026A">
        <w:tc>
          <w:tcPr>
            <w:tcW w:w="629" w:type="dxa"/>
            <w:tcBorders>
              <w:top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2. 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Yoshua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Bengio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, Learning Deep Architectures for AI, now Publishers Inc., 2009</w:t>
            </w:r>
          </w:p>
        </w:tc>
      </w:tr>
    </w:tbl>
    <w:p w:rsidR="0008026A" w:rsidRDefault="0008026A" w:rsidP="0008026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8026A" w:rsidRDefault="0008026A" w:rsidP="0008026A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8391"/>
      </w:tblGrid>
      <w:tr w:rsidR="0008026A" w:rsidRPr="00AD69B0" w:rsidTr="0008026A">
        <w:tc>
          <w:tcPr>
            <w:tcW w:w="9016" w:type="dxa"/>
            <w:gridSpan w:val="2"/>
            <w:tcBorders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Course Number &amp; Title: </w:t>
            </w:r>
            <w:r w:rsidRPr="00AD69B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RA607 &amp; Underactuated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Systems</w:t>
            </w:r>
          </w:p>
        </w:tc>
      </w:tr>
      <w:tr w:rsidR="0008026A" w:rsidRPr="00AD69B0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Pre-Requisite: </w:t>
            </w:r>
            <w:r w:rsidRPr="00BF1C0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RA602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(Control Engineering for Robotics)</w:t>
            </w:r>
            <w:r w:rsidRPr="00BF1C0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or equivalent</w:t>
            </w:r>
          </w:p>
        </w:tc>
      </w:tr>
      <w:tr w:rsidR="0008026A" w:rsidRPr="00AD69B0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Course Content/ Syllabus: </w:t>
            </w:r>
          </w:p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Underactuated systems: </w:t>
            </w: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acrobots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, cart-poles, quadrotors, walking robots; Dynamic Programming; Lyapunov Analysis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Stability Theory</w:t>
            </w: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;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Underactuated System Dynamics and Controller Design; </w:t>
            </w: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Trajectory Optimization; Feedback Motion Planning; Underwater Robots: working principles and their control. Case studies on overhead cranes and drones.</w:t>
            </w:r>
          </w:p>
        </w:tc>
      </w:tr>
      <w:tr w:rsidR="0008026A" w:rsidRPr="00AD69B0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Texts:</w:t>
            </w: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08026A" w:rsidRPr="00AD69B0" w:rsidTr="0008026A"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026A" w:rsidRPr="00AD69B0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References:</w:t>
            </w: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08026A" w:rsidRPr="00AD69B0" w:rsidTr="0008026A"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1.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Tedrake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R., Underactuated Robotics: Algorithms for Walking, Running, Swimming, Flying and Manipulation, MIT </w:t>
            </w: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Opencourseware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hyperlink r:id="rId4" w:history="1">
              <w:r w:rsidRPr="00AD69B0">
                <w:rPr>
                  <w:rFonts w:ascii="Arial Narrow" w:eastAsia="Arial Narrow" w:hAnsi="Arial Narrow" w:cs="Arial Narrow"/>
                  <w:color w:val="0000FF"/>
                  <w:sz w:val="24"/>
                  <w:szCs w:val="24"/>
                  <w:u w:val="single" w:color="0000FF"/>
                </w:rPr>
                <w:t>https://underactuated.mit.edu/</w:t>
              </w:r>
            </w:hyperlink>
          </w:p>
        </w:tc>
      </w:tr>
      <w:tr w:rsidR="0008026A" w:rsidRPr="00AD69B0" w:rsidTr="0008026A"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AD69B0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Qian D., Anti-Sway Control for Cranes: Design and implementation using MATLAB, De </w:t>
            </w: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Grutyer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, 1</w:t>
            </w:r>
            <w:r w:rsidRPr="00AD69B0"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>st</w:t>
            </w: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Ed., 2017.</w:t>
            </w:r>
          </w:p>
        </w:tc>
      </w:tr>
      <w:tr w:rsidR="0008026A" w:rsidRPr="00AD69B0" w:rsidTr="0008026A"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AD69B0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Huang A.C., Chen Y.F. and Kai C.Y., Adaptive Control of Underactuated Mechanical Systems, World Scientific, 2015.</w:t>
            </w:r>
          </w:p>
        </w:tc>
      </w:tr>
      <w:tr w:rsidR="0008026A" w:rsidRPr="00AD69B0" w:rsidTr="0008026A"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AD69B0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AD69B0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G. Antonelli, Underwater Robots, Springer Tracts in Advanced Robotics, Springer Cham, 2014.</w:t>
            </w:r>
          </w:p>
        </w:tc>
      </w:tr>
      <w:tr w:rsidR="0008026A" w:rsidRPr="00AD69B0" w:rsidTr="0008026A"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AD69B0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Fantoni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, I. and Lozano, R., Non-linear Control for Underactuated Mechanical Systems, Communications and Control Engineering, Springer, London, 2022.</w:t>
            </w:r>
          </w:p>
        </w:tc>
      </w:tr>
      <w:tr w:rsidR="0008026A" w:rsidRPr="00AD69B0" w:rsidTr="0008026A"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6.</w:t>
            </w: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AD69B0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Sebbane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Y.B., A First Course in Aerial Robots and Drones, 1st Edition, Chapman and Hall/CRC, New York, 2022.</w:t>
            </w:r>
          </w:p>
        </w:tc>
      </w:tr>
      <w:tr w:rsidR="0008026A" w:rsidRPr="00AD69B0" w:rsidTr="0008026A">
        <w:tc>
          <w:tcPr>
            <w:tcW w:w="625" w:type="dxa"/>
            <w:tcBorders>
              <w:top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AD69B0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AD69B0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S. </w:t>
            </w: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Wadoo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P. </w:t>
            </w:r>
            <w:proofErr w:type="spellStart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Kachroo</w:t>
            </w:r>
            <w:proofErr w:type="spellEnd"/>
            <w:r w:rsidRPr="00AD69B0">
              <w:rPr>
                <w:rFonts w:ascii="Arial Narrow" w:eastAsia="Arial Narrow" w:hAnsi="Arial Narrow" w:cs="Arial Narrow"/>
                <w:sz w:val="24"/>
                <w:szCs w:val="24"/>
              </w:rPr>
              <w:t>, Autonomous Underwater Vehicles: Modeling, Control Design and Simulation, CRC Press, 2011.</w:t>
            </w:r>
          </w:p>
        </w:tc>
      </w:tr>
    </w:tbl>
    <w:p w:rsidR="0008026A" w:rsidRDefault="0008026A" w:rsidP="0008026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8026A" w:rsidRDefault="0008026A" w:rsidP="0008026A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8404"/>
      </w:tblGrid>
      <w:tr w:rsidR="0008026A" w:rsidRPr="003946D5" w:rsidTr="0008026A">
        <w:tc>
          <w:tcPr>
            <w:tcW w:w="9016" w:type="dxa"/>
            <w:gridSpan w:val="2"/>
            <w:tcBorders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 xml:space="preserve">Course Number &amp; Title: </w:t>
            </w:r>
            <w:r w:rsidRPr="003946D5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RA608 &amp; Design, Simulation and Programming Lab</w:t>
            </w:r>
          </w:p>
        </w:tc>
      </w:tr>
      <w:tr w:rsidR="0008026A" w:rsidRPr="003946D5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Course Content/ Syllabus: </w:t>
            </w:r>
          </w:p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Computer Aided Design: Introduction to SOLIDWORKS, Demonstrations on Mechanisms and their design. Introduction to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PowerShape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PowerMILL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with examples. MATLAB Programming: Review of C/C++, numerical differential and integration, plotting functions, working of Simulink with examples. Robot Operating System: Installation and working with case studies.</w:t>
            </w:r>
          </w:p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Introduction to Python: why Python, ecosystem: installation, workflow, data types, control flow, functions, scripts and modules, input, output, standard library,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Numpy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arrays, Pandas Basic, Generators,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List Comprehensions, Multiple Function Arguments, Regular Expressions, Exception Handling, Sets, Serialization, Partial functions, Code Introspection, Closures, Decorators, Map, Filter, Reduce, Visualization with Matplotlib, Libraries for AI.</w:t>
            </w:r>
          </w:p>
        </w:tc>
      </w:tr>
      <w:tr w:rsidR="0008026A" w:rsidRPr="003946D5" w:rsidTr="0008026A">
        <w:trPr>
          <w:gridAfter w:val="1"/>
          <w:wAfter w:w="8404" w:type="dxa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026A" w:rsidRPr="003946D5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References: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08026A" w:rsidRPr="003946D5" w:rsidTr="0008026A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1.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Zeid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Ibrahim, </w:t>
            </w:r>
            <w:r w:rsidRPr="003946D5">
              <w:rPr>
                <w:rFonts w:ascii="Arial Narrow" w:eastAsia="Arial Narrow" w:hAnsi="Arial Narrow" w:cs="Arial Narrow"/>
                <w:i/>
                <w:iCs/>
                <w:sz w:val="24"/>
                <w:szCs w:val="24"/>
              </w:rPr>
              <w:t>CAD/CAM theory and practice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, McGraw-Hill Higher Education, 1991.</w:t>
            </w:r>
          </w:p>
        </w:tc>
      </w:tr>
      <w:tr w:rsidR="0008026A" w:rsidRPr="003946D5" w:rsidTr="0008026A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Rudra Pratap, </w:t>
            </w:r>
            <w:r w:rsidRPr="003946D5">
              <w:rPr>
                <w:rFonts w:ascii="Arial Narrow" w:eastAsia="Arial Narrow" w:hAnsi="Arial Narrow" w:cs="Arial Narrow"/>
                <w:i/>
                <w:iCs/>
                <w:sz w:val="24"/>
                <w:szCs w:val="24"/>
              </w:rPr>
              <w:t xml:space="preserve">Getting Started with </w:t>
            </w:r>
            <w:proofErr w:type="spellStart"/>
            <w:r w:rsidRPr="003946D5">
              <w:rPr>
                <w:rFonts w:ascii="Arial Narrow" w:eastAsia="Arial Narrow" w:hAnsi="Arial Narrow" w:cs="Arial Narrow"/>
                <w:i/>
                <w:iCs/>
                <w:sz w:val="24"/>
                <w:szCs w:val="24"/>
              </w:rPr>
              <w:t>Matlab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, Oxford University Press, 7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>th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edition, 2016.</w:t>
            </w:r>
          </w:p>
        </w:tc>
      </w:tr>
      <w:tr w:rsidR="0008026A" w:rsidRPr="003946D5" w:rsidTr="0008026A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Python Data Science Handbook, O’REILLY </w:t>
            </w:r>
            <w:hyperlink r:id="rId5" w:history="1">
              <w:r w:rsidRPr="003946D5">
                <w:rPr>
                  <w:rFonts w:ascii="Arial Narrow" w:eastAsia="Arial Narrow" w:hAnsi="Arial Narrow" w:cs="Arial Narrow"/>
                  <w:color w:val="0000FF"/>
                  <w:sz w:val="24"/>
                  <w:szCs w:val="24"/>
                  <w:u w:val="single" w:color="0000FF"/>
                </w:rPr>
                <w:t>https://jakevdp.github.io/PythonDataScienceHandbook/</w:t>
              </w:r>
            </w:hyperlink>
          </w:p>
        </w:tc>
      </w:tr>
      <w:tr w:rsidR="0008026A" w:rsidRPr="003946D5" w:rsidTr="0008026A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M. Lombard, </w:t>
            </w:r>
            <w:r w:rsidRPr="003946D5">
              <w:rPr>
                <w:rFonts w:ascii="Arial Narrow" w:eastAsia="Arial Narrow" w:hAnsi="Arial Narrow" w:cs="Arial Narrow"/>
                <w:i/>
                <w:iCs/>
                <w:sz w:val="24"/>
                <w:szCs w:val="24"/>
              </w:rPr>
              <w:t>Mastering SOLIDWORKS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Sybex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, John Wiley &amp; Sons, 2019.</w:t>
            </w:r>
          </w:p>
        </w:tc>
      </w:tr>
      <w:tr w:rsidR="0008026A" w:rsidRPr="003946D5" w:rsidTr="0008026A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L. Joseph, Robot Operating System for Absolute Beginners,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APress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, 2018.</w:t>
            </w:r>
          </w:p>
        </w:tc>
      </w:tr>
      <w:tr w:rsidR="0008026A" w:rsidRPr="003946D5" w:rsidTr="0008026A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Nnaji B.O., </w:t>
            </w:r>
            <w:r w:rsidRPr="003946D5">
              <w:rPr>
                <w:rFonts w:ascii="Arial Narrow" w:eastAsia="Arial Narrow" w:hAnsi="Arial Narrow" w:cs="Arial Narrow"/>
                <w:i/>
                <w:iCs/>
                <w:sz w:val="24"/>
                <w:szCs w:val="24"/>
              </w:rPr>
              <w:t>Computer-aided Design, Selection and Evaluation of Robots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, Manufacturing Research &amp; Technology, Elsevier Science Ltd, 1986.</w:t>
            </w:r>
          </w:p>
        </w:tc>
      </w:tr>
      <w:tr w:rsidR="0008026A" w:rsidRPr="003946D5" w:rsidTr="0008026A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7.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G.C.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Onwubolu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 w:rsidRPr="003946D5">
              <w:rPr>
                <w:rFonts w:ascii="Arial Narrow" w:eastAsia="Arial Narrow" w:hAnsi="Arial Narrow" w:cs="Arial Narrow"/>
                <w:i/>
                <w:iCs/>
                <w:sz w:val="24"/>
                <w:szCs w:val="24"/>
              </w:rPr>
              <w:t xml:space="preserve">Introduction to </w:t>
            </w:r>
            <w:proofErr w:type="spellStart"/>
            <w:r w:rsidRPr="003946D5">
              <w:rPr>
                <w:rFonts w:ascii="Arial Narrow" w:eastAsia="Arial Narrow" w:hAnsi="Arial Narrow" w:cs="Arial Narrow"/>
                <w:i/>
                <w:iCs/>
                <w:sz w:val="24"/>
                <w:szCs w:val="24"/>
              </w:rPr>
              <w:t>Solidworks</w:t>
            </w:r>
            <w:proofErr w:type="spellEnd"/>
            <w:r w:rsidRPr="003946D5">
              <w:rPr>
                <w:rFonts w:ascii="Arial Narrow" w:eastAsia="Arial Narrow" w:hAnsi="Arial Narrow" w:cs="Arial Narrow"/>
                <w:i/>
                <w:iCs/>
                <w:sz w:val="24"/>
                <w:szCs w:val="24"/>
              </w:rPr>
              <w:t>: A Comprehensive guide with applications to 3D Printing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, CRC Press, 2017.</w:t>
            </w:r>
          </w:p>
        </w:tc>
      </w:tr>
      <w:tr w:rsidR="0008026A" w:rsidRPr="003946D5" w:rsidTr="0008026A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B. Gottfried and J. Chhabra, </w:t>
            </w:r>
            <w:r w:rsidRPr="003946D5">
              <w:rPr>
                <w:rFonts w:ascii="Arial Narrow" w:eastAsia="Arial Narrow" w:hAnsi="Arial Narrow" w:cs="Arial Narrow"/>
                <w:i/>
                <w:iCs/>
                <w:sz w:val="24"/>
                <w:szCs w:val="24"/>
              </w:rPr>
              <w:t>Programming with C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Tata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Mcgraw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Hill, 4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>th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Edition, 2018.</w:t>
            </w:r>
          </w:p>
        </w:tc>
      </w:tr>
      <w:tr w:rsidR="0008026A" w:rsidRPr="003946D5" w:rsidTr="0008026A">
        <w:tc>
          <w:tcPr>
            <w:tcW w:w="612" w:type="dxa"/>
            <w:tcBorders>
              <w:top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Stormy Attaway,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Matlab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: </w:t>
            </w:r>
            <w:r w:rsidRPr="003946D5">
              <w:rPr>
                <w:rFonts w:ascii="Arial Narrow" w:eastAsia="Arial Narrow" w:hAnsi="Arial Narrow" w:cs="Arial Narrow"/>
                <w:i/>
                <w:iCs/>
                <w:sz w:val="24"/>
                <w:szCs w:val="24"/>
              </w:rPr>
              <w:t>A Practical Introduction to Programming and Problem Solving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, Butterworth-Heinemann Elsevier, 5th edition, 2018.</w:t>
            </w:r>
          </w:p>
        </w:tc>
      </w:tr>
    </w:tbl>
    <w:p w:rsidR="0008026A" w:rsidRPr="003946D5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46D5">
        <w:rPr>
          <w:rFonts w:ascii="Cambria" w:eastAsia="Cambria" w:hAnsi="Cambria" w:cs="Cambria"/>
          <w:sz w:val="24"/>
          <w:szCs w:val="24"/>
        </w:rPr>
        <w:t> </w:t>
      </w:r>
    </w:p>
    <w:p w:rsidR="0008026A" w:rsidRDefault="0008026A" w:rsidP="0008026A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3946D5">
        <w:rPr>
          <w:rFonts w:ascii="Cambria" w:eastAsia="Cambria" w:hAnsi="Cambria" w:cs="Cambria"/>
          <w:b/>
          <w:bCs/>
          <w:sz w:val="24"/>
          <w:szCs w:val="24"/>
        </w:rPr>
        <w:t>  </w:t>
      </w: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026A" w:rsidRPr="003946D5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8395"/>
      </w:tblGrid>
      <w:tr w:rsidR="0008026A" w:rsidRPr="003946D5" w:rsidTr="0008026A">
        <w:tc>
          <w:tcPr>
            <w:tcW w:w="9016" w:type="dxa"/>
            <w:gridSpan w:val="2"/>
            <w:tcBorders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 xml:space="preserve">Course Number &amp; Title: </w:t>
            </w:r>
            <w:r w:rsidRPr="003946D5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RA609 &amp; Robotics Lab</w:t>
            </w:r>
          </w:p>
        </w:tc>
      </w:tr>
      <w:tr w:rsidR="0008026A" w:rsidRPr="003946D5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Course Content/ Syllabus: </w:t>
            </w:r>
          </w:p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Modelling of Mobile Robots and Navigation. Robot SLAM. Robot Path Planning with examples using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PowerShape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PowerMILL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. Robotics System Toolbox: Installation and Working with examples, Case studies in Robot Planning and Control. Drone control and navigation</w:t>
            </w:r>
          </w:p>
        </w:tc>
      </w:tr>
      <w:tr w:rsidR="0008026A" w:rsidRPr="003946D5" w:rsidTr="0008026A">
        <w:tc>
          <w:tcPr>
            <w:tcW w:w="901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References: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08026A" w:rsidRPr="003946D5" w:rsidTr="0008026A">
        <w:tc>
          <w:tcPr>
            <w:tcW w:w="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1.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Siegwart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R.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andNourbakhsh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I.R., Introduction to Autonomous Mobile Robots, MIT Press, Cambridge, MA, 2004.</w:t>
            </w:r>
          </w:p>
        </w:tc>
      </w:tr>
      <w:tr w:rsidR="0008026A" w:rsidRPr="003946D5" w:rsidTr="0008026A">
        <w:tc>
          <w:tcPr>
            <w:tcW w:w="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P.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Corke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, Robotics, Vision and Control: Fundamental Algorithms in MATLAB, 2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>nd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Edition, Springer, 2017</w:t>
            </w:r>
          </w:p>
        </w:tc>
      </w:tr>
      <w:tr w:rsidR="0008026A" w:rsidRPr="003946D5" w:rsidTr="0008026A">
        <w:tc>
          <w:tcPr>
            <w:tcW w:w="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Hover F. and Chin H., Design of Electromechanical Robotic Systems, MIT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Opencourseware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hyperlink r:id="rId6" w:history="1">
              <w:r w:rsidRPr="003946D5">
                <w:rPr>
                  <w:rFonts w:ascii="Arial Narrow" w:eastAsia="Arial Narrow" w:hAnsi="Arial Narrow" w:cs="Arial Narrow"/>
                  <w:color w:val="0000FF"/>
                  <w:sz w:val="24"/>
                  <w:szCs w:val="24"/>
                  <w:u w:val="single" w:color="0000FF"/>
                </w:rPr>
                <w:t>https://ocw.mit.edu/courses/2-017j-design-of-electromechanical-robotic-systems-fall-2009/</w:t>
              </w:r>
            </w:hyperlink>
          </w:p>
        </w:tc>
      </w:tr>
      <w:tr w:rsidR="0008026A" w:rsidRPr="003946D5" w:rsidTr="0008026A">
        <w:tc>
          <w:tcPr>
            <w:tcW w:w="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4.</w:t>
            </w: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Robotics System Toolbox, </w:t>
            </w:r>
            <w:hyperlink r:id="rId7" w:history="1">
              <w:r w:rsidRPr="003946D5">
                <w:rPr>
                  <w:rFonts w:ascii="Arial Narrow" w:eastAsia="Arial Narrow" w:hAnsi="Arial Narrow" w:cs="Arial Narrow"/>
                  <w:color w:val="0000FF"/>
                  <w:sz w:val="24"/>
                  <w:szCs w:val="24"/>
                  <w:u w:val="single" w:color="0000FF"/>
                </w:rPr>
                <w:t>https://in.mathworks.com/help/robotics/</w:t>
              </w:r>
            </w:hyperlink>
          </w:p>
        </w:tc>
      </w:tr>
      <w:tr w:rsidR="0008026A" w:rsidRPr="003946D5" w:rsidTr="0008026A">
        <w:tc>
          <w:tcPr>
            <w:tcW w:w="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Madrigal J.A.F. and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Claraco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J.L.B., Simultaneous Localization and Mapping for Mobile Robots: Introduction and Methods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 Information Science Reference, IGI Global, 2013.</w:t>
            </w:r>
          </w:p>
        </w:tc>
      </w:tr>
      <w:tr w:rsidR="0008026A" w:rsidRPr="003946D5" w:rsidTr="0008026A">
        <w:tc>
          <w:tcPr>
            <w:tcW w:w="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S.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Wadoo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P.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Kachroo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, Autonomous Underwater Vehicles: Modeling, Control Design and Simulation, CRC Press, 2011.</w:t>
            </w:r>
          </w:p>
        </w:tc>
      </w:tr>
      <w:tr w:rsidR="0008026A" w:rsidRPr="003946D5" w:rsidTr="0008026A">
        <w:tc>
          <w:tcPr>
            <w:tcW w:w="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8026A" w:rsidRPr="003946D5" w:rsidRDefault="0008026A" w:rsidP="00EC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Sebbane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Y.B., A First Course in Aerial Robots and Drones, 1st Edition, Chapman and Hall/CRC, New York, 2022.</w:t>
            </w:r>
          </w:p>
        </w:tc>
      </w:tr>
      <w:tr w:rsidR="0008026A" w:rsidRPr="003946D5" w:rsidTr="0008026A">
        <w:tc>
          <w:tcPr>
            <w:tcW w:w="621" w:type="dxa"/>
            <w:tcBorders>
              <w:top w:val="single" w:sz="4" w:space="0" w:color="000000"/>
              <w:righ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08026A" w:rsidRPr="003946D5" w:rsidRDefault="0008026A" w:rsidP="00EC57B8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Joseph L., Mastering ROS for Robotics Programming, </w:t>
            </w:r>
            <w:proofErr w:type="spellStart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>Packt</w:t>
            </w:r>
            <w:proofErr w:type="spellEnd"/>
            <w:r w:rsidRPr="003946D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Publishing, Birmingham, 2015.</w:t>
            </w:r>
          </w:p>
        </w:tc>
      </w:tr>
    </w:tbl>
    <w:p w:rsidR="0008026A" w:rsidRPr="003946D5" w:rsidRDefault="0008026A" w:rsidP="0008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46D5">
        <w:rPr>
          <w:rFonts w:ascii="Cambria" w:eastAsia="Cambria" w:hAnsi="Cambria" w:cs="Cambria"/>
          <w:b/>
          <w:bCs/>
          <w:sz w:val="24"/>
          <w:szCs w:val="24"/>
        </w:rPr>
        <w:t> </w:t>
      </w:r>
    </w:p>
    <w:p w:rsidR="0008026A" w:rsidRPr="003946D5" w:rsidRDefault="0008026A" w:rsidP="0008026A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3946D5">
        <w:rPr>
          <w:rFonts w:ascii="Cambria" w:eastAsia="Cambria" w:hAnsi="Cambria" w:cs="Cambria"/>
          <w:b/>
          <w:bCs/>
          <w:sz w:val="24"/>
          <w:szCs w:val="24"/>
        </w:rPr>
        <w:t> </w:t>
      </w:r>
    </w:p>
    <w:p w:rsidR="0008026A" w:rsidRDefault="0008026A" w:rsidP="0008026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8026A" w:rsidRDefault="0008026A" w:rsidP="0008026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8026A" w:rsidRDefault="0008026A" w:rsidP="0008026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8026A" w:rsidRDefault="0008026A" w:rsidP="0008026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8026A" w:rsidRDefault="0008026A"/>
    <w:sectPr w:rsidR="00080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6A"/>
    <w:rsid w:val="0008026A"/>
    <w:rsid w:val="00296385"/>
    <w:rsid w:val="00E3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6F42"/>
  <w15:chartTrackingRefBased/>
  <w15:docId w15:val="{3E6AA2FB-3009-44DA-B1B9-B6C7AC45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26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.mathworks.com/help/robotic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cw.mit.edu/courses/2-017j-design-of-electromechanical-robotic-systems-fall-2009/" TargetMode="External"/><Relationship Id="rId5" Type="http://schemas.openxmlformats.org/officeDocument/2006/relationships/hyperlink" Target="https://jakevdp.github.io/PythonDataScienceHandbook/" TargetMode="External"/><Relationship Id="rId4" Type="http://schemas.openxmlformats.org/officeDocument/2006/relationships/hyperlink" Target="https://underactuated.mit.ed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Chayan Bhawal</dc:creator>
  <cp:keywords/>
  <dc:description/>
  <cp:lastModifiedBy>Chayan Bhawal</cp:lastModifiedBy>
  <cp:revision>1</cp:revision>
  <dcterms:created xsi:type="dcterms:W3CDTF">2025-01-31T06:55:00Z</dcterms:created>
  <dcterms:modified xsi:type="dcterms:W3CDTF">2025-01-31T07:01:00Z</dcterms:modified>
</cp:coreProperties>
</file>