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19194F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19194F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19194F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19194F">
              <w:rPr>
                <w:rFonts w:ascii="Arial" w:hAnsi="Arial" w:cs="Arial"/>
                <w:color w:val="000000"/>
              </w:rPr>
              <w:t>“</w:t>
            </w:r>
            <w:r w:rsidR="00C232CC" w:rsidRPr="00C232CC">
              <w:rPr>
                <w:rFonts w:ascii="Arial" w:hAnsi="Arial" w:cs="Arial"/>
              </w:rPr>
              <w:t xml:space="preserve">Repairing  and  replacement  of  defective  fittings along with reconditioning of submain wiring and point  wiring  in  the  security  Barak  near  Kamen hostel,  faculty  gate  security  Barak,  Academic security Barak and </w:t>
            </w:r>
            <w:proofErr w:type="spellStart"/>
            <w:r w:rsidR="00C232CC" w:rsidRPr="00C232CC">
              <w:rPr>
                <w:rFonts w:ascii="Arial" w:hAnsi="Arial" w:cs="Arial"/>
              </w:rPr>
              <w:t>lath</w:t>
            </w:r>
            <w:bookmarkStart w:id="0" w:name="_GoBack"/>
            <w:bookmarkEnd w:id="0"/>
            <w:r w:rsidR="00C232CC" w:rsidRPr="00C232CC">
              <w:rPr>
                <w:rFonts w:ascii="Arial" w:hAnsi="Arial" w:cs="Arial"/>
              </w:rPr>
              <w:t>ia</w:t>
            </w:r>
            <w:proofErr w:type="spellEnd"/>
            <w:r w:rsidR="00C232CC" w:rsidRPr="00C232CC">
              <w:rPr>
                <w:rFonts w:ascii="Arial" w:hAnsi="Arial" w:cs="Arial"/>
              </w:rPr>
              <w:t xml:space="preserve"> gate security Barak in IITG campus</w:t>
            </w:r>
            <w:r w:rsidR="007D2E0D" w:rsidRPr="0019194F">
              <w:rPr>
                <w:rFonts w:ascii="Arial" w:hAnsi="Arial" w:cs="Arial"/>
              </w:rPr>
              <w:t>”</w:t>
            </w:r>
            <w:r w:rsidR="003D7F70" w:rsidRPr="0019194F">
              <w:rPr>
                <w:rFonts w:ascii="Arial" w:hAnsi="Arial" w:cs="Arial"/>
                <w:color w:val="000000"/>
              </w:rPr>
              <w:t>. Interested</w:t>
            </w:r>
            <w:r w:rsidR="001E5A95" w:rsidRPr="0019194F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19194F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19194F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9194F"/>
    <w:rsid w:val="001D26ED"/>
    <w:rsid w:val="001E5A95"/>
    <w:rsid w:val="002027BE"/>
    <w:rsid w:val="002E4930"/>
    <w:rsid w:val="00323ECC"/>
    <w:rsid w:val="003C35B7"/>
    <w:rsid w:val="003D7F70"/>
    <w:rsid w:val="005103D9"/>
    <w:rsid w:val="00544AF3"/>
    <w:rsid w:val="005922C3"/>
    <w:rsid w:val="006C03F0"/>
    <w:rsid w:val="007D2E0D"/>
    <w:rsid w:val="00833DD4"/>
    <w:rsid w:val="00846E6C"/>
    <w:rsid w:val="00904987"/>
    <w:rsid w:val="009138B5"/>
    <w:rsid w:val="009A0AF1"/>
    <w:rsid w:val="00A96CEA"/>
    <w:rsid w:val="00B22B43"/>
    <w:rsid w:val="00B52276"/>
    <w:rsid w:val="00C232CC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32</cp:revision>
  <dcterms:created xsi:type="dcterms:W3CDTF">2020-12-16T10:53:00Z</dcterms:created>
  <dcterms:modified xsi:type="dcterms:W3CDTF">2023-03-17T11:42:00Z</dcterms:modified>
</cp:coreProperties>
</file>