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DD06" w14:textId="77777777" w:rsidR="0051222D" w:rsidRDefault="0051222D" w:rsidP="0051222D">
      <w:pPr>
        <w:rPr>
          <w:rFonts w:ascii="Tahoma" w:eastAsia="Times New Roman" w:hAnsi="Tahoma" w:cs="Tahoma"/>
          <w:b/>
          <w:bCs/>
          <w:color w:val="2271A0"/>
          <w:kern w:val="36"/>
          <w:sz w:val="27"/>
          <w:szCs w:val="27"/>
          <w:lang w:eastAsia="en-IN"/>
        </w:rPr>
      </w:pPr>
    </w:p>
    <w:p w14:paraId="3DF803EE" w14:textId="16DCD3B4" w:rsidR="00C74942" w:rsidRDefault="006D2DF4" w:rsidP="00C74942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lang w:eastAsia="en-IN"/>
        </w:rPr>
      </w:pPr>
      <w:r w:rsidRPr="006D2DF4">
        <w:rPr>
          <w:rFonts w:ascii="Times New Roman" w:eastAsia="Times New Roman" w:hAnsi="Times New Roman" w:cs="Times New Roman"/>
          <w:b/>
          <w:bCs/>
          <w:kern w:val="36"/>
          <w:sz w:val="28"/>
          <w:lang w:eastAsia="en-IN"/>
        </w:rPr>
        <w:t>Process for Submission and Review of Project Completion Report (PCR)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lang w:eastAsia="en-IN"/>
        </w:rPr>
        <w:t>:</w:t>
      </w:r>
    </w:p>
    <w:p w14:paraId="30B262B4" w14:textId="77777777" w:rsidR="006D2DF4" w:rsidRPr="0051222D" w:rsidRDefault="006D2DF4" w:rsidP="00C74942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lang w:eastAsia="en-I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51222D" w:rsidRPr="0051222D" w14:paraId="59DED9E6" w14:textId="77777777" w:rsidTr="00C74942">
        <w:trPr>
          <w:trHeight w:val="955"/>
        </w:trPr>
        <w:tc>
          <w:tcPr>
            <w:tcW w:w="988" w:type="dxa"/>
          </w:tcPr>
          <w:p w14:paraId="0A732936" w14:textId="38EFA28E" w:rsidR="0051222D" w:rsidRPr="0051222D" w:rsidRDefault="0051222D" w:rsidP="00C7494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51222D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Step 1</w:t>
            </w:r>
          </w:p>
        </w:tc>
        <w:tc>
          <w:tcPr>
            <w:tcW w:w="8028" w:type="dxa"/>
          </w:tcPr>
          <w:p w14:paraId="7F00B9A5" w14:textId="561EFB72" w:rsidR="0051222D" w:rsidRPr="0051222D" w:rsidRDefault="006D2DF4" w:rsidP="0051222D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The Principal Investigator (PI) must submit the Project Completion Report (PCR) in the standard format at the end of the final year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 xml:space="preserve"> of the project</w:t>
            </w: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, detailing the progress and work accomplished during that period.</w:t>
            </w:r>
          </w:p>
        </w:tc>
      </w:tr>
      <w:tr w:rsidR="0051222D" w:rsidRPr="0051222D" w14:paraId="69FC32C8" w14:textId="77777777" w:rsidTr="00C74942">
        <w:trPr>
          <w:trHeight w:val="698"/>
        </w:trPr>
        <w:tc>
          <w:tcPr>
            <w:tcW w:w="988" w:type="dxa"/>
          </w:tcPr>
          <w:p w14:paraId="555A44D0" w14:textId="47C3A09D" w:rsidR="0051222D" w:rsidRPr="0051222D" w:rsidRDefault="0051222D" w:rsidP="00C7494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51222D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Step 2</w:t>
            </w:r>
          </w:p>
        </w:tc>
        <w:tc>
          <w:tcPr>
            <w:tcW w:w="8028" w:type="dxa"/>
          </w:tcPr>
          <w:p w14:paraId="030ECDDC" w14:textId="0F28C861" w:rsidR="0051222D" w:rsidRPr="0051222D" w:rsidRDefault="006D2DF4" w:rsidP="0051222D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The PI will prepare the PCR in consultation with the Focal Person (Contact Scientist).</w:t>
            </w:r>
          </w:p>
        </w:tc>
      </w:tr>
      <w:tr w:rsidR="0051222D" w:rsidRPr="0051222D" w14:paraId="294A40D2" w14:textId="77777777" w:rsidTr="00C74942">
        <w:trPr>
          <w:trHeight w:val="708"/>
        </w:trPr>
        <w:tc>
          <w:tcPr>
            <w:tcW w:w="988" w:type="dxa"/>
          </w:tcPr>
          <w:p w14:paraId="0B3515E7" w14:textId="52B33B7C" w:rsidR="0051222D" w:rsidRPr="0051222D" w:rsidRDefault="0051222D" w:rsidP="00C7494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51222D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Step 3</w:t>
            </w:r>
          </w:p>
        </w:tc>
        <w:tc>
          <w:tcPr>
            <w:tcW w:w="8028" w:type="dxa"/>
          </w:tcPr>
          <w:p w14:paraId="0E95F0F9" w14:textId="73CCFC97" w:rsidR="0051222D" w:rsidRPr="0051222D" w:rsidRDefault="006D2DF4" w:rsidP="0051222D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The ISRO RESPOND Centre and the Focal Person (Contact Scientist) will assess the submitted PCR.</w:t>
            </w:r>
          </w:p>
        </w:tc>
      </w:tr>
      <w:tr w:rsidR="0051222D" w:rsidRPr="0051222D" w14:paraId="5675DA25" w14:textId="77777777" w:rsidTr="002D7CCE">
        <w:trPr>
          <w:trHeight w:val="612"/>
        </w:trPr>
        <w:tc>
          <w:tcPr>
            <w:tcW w:w="988" w:type="dxa"/>
          </w:tcPr>
          <w:p w14:paraId="20A59341" w14:textId="502BD95C" w:rsidR="0051222D" w:rsidRPr="0051222D" w:rsidRDefault="0051222D" w:rsidP="00C7494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51222D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Step 4</w:t>
            </w:r>
          </w:p>
        </w:tc>
        <w:tc>
          <w:tcPr>
            <w:tcW w:w="8028" w:type="dxa"/>
          </w:tcPr>
          <w:p w14:paraId="0B0EEBB9" w14:textId="28A0735B" w:rsidR="0051222D" w:rsidRPr="0051222D" w:rsidRDefault="006D2DF4" w:rsidP="0051222D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The review report from the ISRO RESPOND Centre will be communicated/received for further action.</w:t>
            </w:r>
          </w:p>
        </w:tc>
      </w:tr>
      <w:tr w:rsidR="0051222D" w:rsidRPr="0051222D" w14:paraId="1F606528" w14:textId="77777777" w:rsidTr="00C74942">
        <w:trPr>
          <w:trHeight w:val="698"/>
        </w:trPr>
        <w:tc>
          <w:tcPr>
            <w:tcW w:w="988" w:type="dxa"/>
          </w:tcPr>
          <w:p w14:paraId="023E914A" w14:textId="49BAB856" w:rsidR="0051222D" w:rsidRPr="0051222D" w:rsidRDefault="0051222D" w:rsidP="00C7494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51222D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Step 5</w:t>
            </w:r>
          </w:p>
        </w:tc>
        <w:tc>
          <w:tcPr>
            <w:tcW w:w="8028" w:type="dxa"/>
          </w:tcPr>
          <w:p w14:paraId="3558812D" w14:textId="49B07061" w:rsidR="0051222D" w:rsidRPr="0051222D" w:rsidRDefault="006D2DF4" w:rsidP="0051222D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The PI will present the project outcomes and findings in the Joint Policy Committee (JPC) Meeting.</w:t>
            </w:r>
          </w:p>
        </w:tc>
      </w:tr>
      <w:tr w:rsidR="0051222D" w:rsidRPr="0051222D" w14:paraId="21D2F695" w14:textId="77777777" w:rsidTr="002D7CCE">
        <w:trPr>
          <w:trHeight w:val="2970"/>
        </w:trPr>
        <w:tc>
          <w:tcPr>
            <w:tcW w:w="988" w:type="dxa"/>
          </w:tcPr>
          <w:p w14:paraId="501576CA" w14:textId="49DE2B12" w:rsidR="0051222D" w:rsidRPr="0051222D" w:rsidRDefault="0051222D" w:rsidP="00C7494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51222D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Step 6</w:t>
            </w:r>
          </w:p>
        </w:tc>
        <w:tc>
          <w:tcPr>
            <w:tcW w:w="8028" w:type="dxa"/>
          </w:tcPr>
          <w:p w14:paraId="13A9123F" w14:textId="77777777" w:rsidR="006D2DF4" w:rsidRPr="006D2DF4" w:rsidRDefault="006D2DF4" w:rsidP="006D2DF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The PI must submit:</w:t>
            </w:r>
          </w:p>
          <w:p w14:paraId="582DAFEF" w14:textId="77777777" w:rsidR="006D2DF4" w:rsidRPr="006D2DF4" w:rsidRDefault="006D2DF4" w:rsidP="006D2DF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</w:p>
          <w:p w14:paraId="15213147" w14:textId="77777777" w:rsidR="006D2DF4" w:rsidRDefault="006D2DF4" w:rsidP="006D2DF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A hard copy of the PCR,</w:t>
            </w:r>
          </w:p>
          <w:p w14:paraId="053A198A" w14:textId="77777777" w:rsidR="006D2DF4" w:rsidRDefault="006D2DF4" w:rsidP="006D2DF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A soft copy of the PCR, and</w:t>
            </w:r>
          </w:p>
          <w:p w14:paraId="78D8FDEA" w14:textId="69F2086C" w:rsidR="006D2DF4" w:rsidRPr="006D2DF4" w:rsidRDefault="006D2DF4" w:rsidP="006D2DF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All project deliverables</w:t>
            </w:r>
          </w:p>
          <w:p w14:paraId="100238C1" w14:textId="77777777" w:rsidR="006D2DF4" w:rsidRDefault="006D2DF4" w:rsidP="006D2DF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</w:p>
          <w:p w14:paraId="379202FA" w14:textId="20BE55AE" w:rsidR="006D2DF4" w:rsidRDefault="006D2DF4" w:rsidP="006D2DF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to the RESPOND Centre.</w:t>
            </w:r>
          </w:p>
          <w:p w14:paraId="40E9C07D" w14:textId="77777777" w:rsidR="006D2DF4" w:rsidRPr="006D2DF4" w:rsidRDefault="006D2DF4" w:rsidP="006D2DF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</w:p>
          <w:p w14:paraId="627AF341" w14:textId="77890C28" w:rsidR="0051222D" w:rsidRPr="0051222D" w:rsidRDefault="006D2DF4" w:rsidP="006D2DF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Additionally, the PI must submit both a soft and hard copy of the PCR to STC–IIT Guwahati (STC-IITG).</w:t>
            </w:r>
          </w:p>
        </w:tc>
      </w:tr>
      <w:tr w:rsidR="0051222D" w:rsidRPr="0051222D" w14:paraId="2CAF1528" w14:textId="77777777" w:rsidTr="002D7CCE">
        <w:trPr>
          <w:trHeight w:val="1822"/>
        </w:trPr>
        <w:tc>
          <w:tcPr>
            <w:tcW w:w="988" w:type="dxa"/>
          </w:tcPr>
          <w:p w14:paraId="354A702C" w14:textId="6BF22B91" w:rsidR="0051222D" w:rsidRPr="0051222D" w:rsidRDefault="0051222D" w:rsidP="00C74942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51222D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Step 7</w:t>
            </w:r>
          </w:p>
        </w:tc>
        <w:tc>
          <w:tcPr>
            <w:tcW w:w="8028" w:type="dxa"/>
          </w:tcPr>
          <w:p w14:paraId="035D0A6C" w14:textId="77777777" w:rsidR="006D2DF4" w:rsidRPr="006D2DF4" w:rsidRDefault="006D2DF4" w:rsidP="006D2DF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STC–IITG will submit the following to the Accounts Officer, Department of Space, with a copy to DD, RESPOND:</w:t>
            </w:r>
          </w:p>
          <w:p w14:paraId="236580AB" w14:textId="77777777" w:rsidR="006D2DF4" w:rsidRPr="006D2DF4" w:rsidRDefault="006D2DF4" w:rsidP="006D2DF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</w:p>
          <w:p w14:paraId="4953EA6A" w14:textId="77777777" w:rsidR="006D2DF4" w:rsidRDefault="006D2DF4" w:rsidP="006D2D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Fund Utilization Certificate (FUC)</w:t>
            </w:r>
          </w:p>
          <w:p w14:paraId="0D26BEA3" w14:textId="77777777" w:rsidR="006D2DF4" w:rsidRDefault="006D2DF4" w:rsidP="006D2D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Audited Accounts Statement (AAS)</w:t>
            </w:r>
          </w:p>
          <w:p w14:paraId="03BE0AC0" w14:textId="559D432B" w:rsidR="0051222D" w:rsidRPr="006D2DF4" w:rsidRDefault="006D2DF4" w:rsidP="006D2D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</w:pPr>
            <w:r w:rsidRPr="006D2DF4">
              <w:rPr>
                <w:rFonts w:ascii="Times New Roman" w:eastAsia="Times New Roman" w:hAnsi="Times New Roman" w:cs="Times New Roman"/>
                <w:bCs/>
                <w:kern w:val="36"/>
                <w:sz w:val="24"/>
                <w:lang w:eastAsia="en-IN"/>
              </w:rPr>
              <w:t>Grant-in-Aid Bill</w:t>
            </w:r>
          </w:p>
        </w:tc>
      </w:tr>
    </w:tbl>
    <w:p w14:paraId="37D3846D" w14:textId="0F0E8577" w:rsidR="0051222D" w:rsidRDefault="0051222D" w:rsidP="0051222D"/>
    <w:sectPr w:rsidR="00512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53D3D"/>
    <w:multiLevelType w:val="hybridMultilevel"/>
    <w:tmpl w:val="030423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96F70"/>
    <w:multiLevelType w:val="hybridMultilevel"/>
    <w:tmpl w:val="BEF203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1MLE0sLAwMDO3MDNU0lEKTi0uzszPAykwrgUA7giypywAAAA="/>
  </w:docVars>
  <w:rsids>
    <w:rsidRoot w:val="00F02B44"/>
    <w:rsid w:val="002D7CCE"/>
    <w:rsid w:val="0031014C"/>
    <w:rsid w:val="0051222D"/>
    <w:rsid w:val="00644607"/>
    <w:rsid w:val="006D2DF4"/>
    <w:rsid w:val="00C74942"/>
    <w:rsid w:val="00F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1CC5"/>
  <w15:chartTrackingRefBased/>
  <w15:docId w15:val="{255CDD09-8E68-4513-9C3E-9FE7131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22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1222D"/>
    <w:rPr>
      <w:color w:val="0000FF"/>
      <w:u w:val="single"/>
    </w:rPr>
  </w:style>
  <w:style w:type="character" w:customStyle="1" w:styleId="style68">
    <w:name w:val="style68"/>
    <w:basedOn w:val="DefaultParagraphFont"/>
    <w:rsid w:val="0051222D"/>
  </w:style>
  <w:style w:type="character" w:customStyle="1" w:styleId="style54">
    <w:name w:val="style54"/>
    <w:basedOn w:val="DefaultParagraphFont"/>
    <w:rsid w:val="0051222D"/>
  </w:style>
  <w:style w:type="table" w:styleId="TableGrid">
    <w:name w:val="Table Grid"/>
    <w:basedOn w:val="TableNormal"/>
    <w:uiPriority w:val="39"/>
    <w:rsid w:val="0051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2025-11-13T10:55:00Z</dcterms:created>
  <dcterms:modified xsi:type="dcterms:W3CDTF">2025-11-19T09:47:00Z</dcterms:modified>
</cp:coreProperties>
</file>